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0E47" w:rsidRDefault="000D65CB">
      <w:pPr>
        <w:tabs>
          <w:tab w:val="left" w:pos="2985"/>
        </w:tabs>
        <w:spacing w:before="480" w:after="120"/>
        <w:rPr>
          <w:b/>
          <w:color w:val="FF0000"/>
          <w:sz w:val="46"/>
          <w:szCs w:val="46"/>
        </w:rPr>
      </w:pPr>
      <w:bookmarkStart w:id="0" w:name="_heading=h.gjdgxs"/>
      <w:bookmarkEnd w:id="0"/>
      <w:r>
        <w:rPr>
          <w:b/>
          <w:color w:val="FF0000"/>
          <w:sz w:val="46"/>
          <w:szCs w:val="46"/>
          <w:lang w:val="en-US"/>
        </w:rPr>
        <w:t xml:space="preserve">                         </w:t>
      </w:r>
      <w:r w:rsidR="00ED41E0">
        <w:rPr>
          <w:noProof/>
        </w:rPr>
        <w:drawing>
          <wp:inline distT="0" distB="0" distL="0" distR="0">
            <wp:extent cx="2336165" cy="1668780"/>
            <wp:effectExtent l="0" t="0" r="0" b="0"/>
            <wp:docPr id="1" name="image1.jpg" descr="Ново лого Ерайдъ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Ново лого Ерайдър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E47" w:rsidRDefault="00ED41E0">
      <w:pPr>
        <w:spacing w:before="480" w:after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Гаранционна карта и условия  </w:t>
      </w:r>
    </w:p>
    <w:p w:rsidR="00300E47" w:rsidRDefault="00ED41E0">
      <w:pPr>
        <w:rPr>
          <w:b/>
          <w:vertAlign w:val="subscript"/>
        </w:rPr>
      </w:pPr>
      <w:r>
        <w:rPr>
          <w:b/>
          <w:color w:val="111111"/>
        </w:rPr>
        <w:t>Продавач</w:t>
      </w:r>
      <w:r>
        <w:rPr>
          <w:color w:val="111111"/>
        </w:rPr>
        <w:t>:</w:t>
      </w:r>
      <w:r>
        <w:rPr>
          <w:b/>
          <w:color w:val="111111"/>
        </w:rPr>
        <w:t>Ерайдър ООД-</w:t>
      </w:r>
      <w:r>
        <w:rPr>
          <w:b/>
          <w:sz w:val="18"/>
          <w:szCs w:val="18"/>
        </w:rPr>
        <w:t>ЕИК206964826</w:t>
      </w:r>
      <w:r w:rsidR="000D65CB">
        <w:rPr>
          <w:b/>
          <w:sz w:val="18"/>
          <w:szCs w:val="18"/>
          <w:lang w:val="en-US"/>
        </w:rPr>
        <w:t xml:space="preserve">                                                                                   </w:t>
      </w:r>
      <w:r>
        <w:rPr>
          <w:b/>
          <w:color w:val="111111"/>
          <w:sz w:val="18"/>
          <w:szCs w:val="18"/>
        </w:rPr>
        <w:t>Дата: 00</w:t>
      </w:r>
      <w:r>
        <w:rPr>
          <w:b/>
          <w:sz w:val="18"/>
          <w:szCs w:val="18"/>
        </w:rPr>
        <w:t>.00.2023г.</w:t>
      </w:r>
    </w:p>
    <w:p w:rsidR="00300E47" w:rsidRDefault="00300E47">
      <w:pPr>
        <w:rPr>
          <w:b/>
          <w:color w:val="111111"/>
          <w:sz w:val="21"/>
          <w:szCs w:val="21"/>
        </w:rPr>
      </w:pPr>
    </w:p>
    <w:p w:rsidR="00300E47" w:rsidRDefault="00ED41E0">
      <w:pPr>
        <w:rPr>
          <w:color w:val="111111"/>
        </w:rPr>
      </w:pPr>
      <w:r>
        <w:rPr>
          <w:b/>
          <w:color w:val="111111"/>
        </w:rPr>
        <w:t xml:space="preserve">Купувач: </w:t>
      </w:r>
    </w:p>
    <w:p w:rsidR="00300E47" w:rsidRDefault="00300E47">
      <w:pPr>
        <w:rPr>
          <w:color w:val="111111"/>
        </w:rPr>
      </w:pPr>
    </w:p>
    <w:p w:rsidR="00300E47" w:rsidRDefault="00ED41E0">
      <w:pPr>
        <w:rPr>
          <w:color w:val="111111"/>
        </w:rPr>
      </w:pPr>
      <w:r>
        <w:rPr>
          <w:b/>
          <w:color w:val="111111"/>
        </w:rPr>
        <w:t>Тел.номер:</w:t>
      </w:r>
    </w:p>
    <w:p w:rsidR="00300E47" w:rsidRDefault="00300E47">
      <w:pPr>
        <w:rPr>
          <w:b/>
          <w:color w:val="158466"/>
        </w:rPr>
      </w:pPr>
    </w:p>
    <w:p w:rsidR="00300E47" w:rsidRDefault="000D65CB">
      <w:pPr>
        <w:rPr>
          <w:b/>
          <w:i/>
          <w:color w:val="158466"/>
        </w:rPr>
      </w:pPr>
      <w:r>
        <w:rPr>
          <w:b/>
          <w:i/>
          <w:color w:val="158466"/>
          <w:lang w:val="en-US"/>
        </w:rPr>
        <w:t>online@erider.bg</w:t>
      </w:r>
      <w:r w:rsidR="00ED41E0">
        <w:rPr>
          <w:b/>
          <w:i/>
          <w:color w:val="158466"/>
        </w:rPr>
        <w:t xml:space="preserve">                                                       </w:t>
      </w:r>
      <w:r>
        <w:rPr>
          <w:b/>
          <w:i/>
          <w:color w:val="158466"/>
          <w:lang w:val="en-US"/>
        </w:rPr>
        <w:t xml:space="preserve">                          </w:t>
      </w:r>
      <w:r w:rsidR="00ED41E0">
        <w:rPr>
          <w:b/>
          <w:i/>
          <w:sz w:val="18"/>
          <w:szCs w:val="18"/>
        </w:rPr>
        <w:t>Подпис/печат:</w:t>
      </w:r>
    </w:p>
    <w:p w:rsidR="00300E47" w:rsidRPr="000D65CB" w:rsidRDefault="000D65CB">
      <w:pPr>
        <w:rPr>
          <w:lang w:val="en-US"/>
        </w:rPr>
      </w:pPr>
      <w:r>
        <w:rPr>
          <w:b/>
          <w:color w:val="158466"/>
        </w:rPr>
        <w:t xml:space="preserve">Стара Загора </w:t>
      </w:r>
      <w:r>
        <w:rPr>
          <w:b/>
          <w:color w:val="158466"/>
          <w:lang w:val="en-US"/>
        </w:rPr>
        <w:t>т</w:t>
      </w:r>
      <w:r w:rsidR="00ED41E0">
        <w:rPr>
          <w:b/>
          <w:color w:val="158466"/>
        </w:rPr>
        <w:t xml:space="preserve">ел : </w:t>
      </w:r>
      <w:r>
        <w:rPr>
          <w:b/>
          <w:color w:val="158466"/>
        </w:rPr>
        <w:t>0884199844</w:t>
      </w:r>
    </w:p>
    <w:tbl>
      <w:tblPr>
        <w:tblW w:w="9922" w:type="dxa"/>
        <w:tblInd w:w="10" w:type="dxa"/>
        <w:tblLayout w:type="fixed"/>
        <w:tblLook w:val="0600"/>
      </w:tblPr>
      <w:tblGrid>
        <w:gridCol w:w="4962"/>
        <w:gridCol w:w="4960"/>
      </w:tblGrid>
      <w:tr w:rsidR="00300E47">
        <w:trPr>
          <w:trHeight w:val="684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47" w:rsidRDefault="00ED41E0">
            <w:pPr>
              <w:widowControl w:val="0"/>
              <w:spacing w:before="240" w:after="24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Марка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47" w:rsidRDefault="00300E47">
            <w:pPr>
              <w:widowControl w:val="0"/>
              <w:spacing w:before="240" w:after="240" w:line="240" w:lineRule="auto"/>
              <w:rPr>
                <w:b/>
                <w:sz w:val="16"/>
                <w:szCs w:val="16"/>
              </w:rPr>
            </w:pPr>
          </w:p>
        </w:tc>
      </w:tr>
      <w:tr w:rsidR="00300E47">
        <w:trPr>
          <w:trHeight w:val="64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47" w:rsidRDefault="00ED41E0">
            <w:pPr>
              <w:widowControl w:val="0"/>
              <w:spacing w:before="240" w:after="24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Модел: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47" w:rsidRDefault="00300E47">
            <w:pPr>
              <w:widowControl w:val="0"/>
              <w:spacing w:before="240" w:after="240" w:line="240" w:lineRule="auto"/>
              <w:rPr>
                <w:b/>
                <w:sz w:val="16"/>
                <w:szCs w:val="16"/>
              </w:rPr>
            </w:pPr>
          </w:p>
        </w:tc>
      </w:tr>
      <w:tr w:rsidR="00300E47">
        <w:trPr>
          <w:trHeight w:val="51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47" w:rsidRDefault="00ED41E0">
            <w:pPr>
              <w:widowControl w:val="0"/>
              <w:spacing w:before="240" w:after="24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Сериен №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47" w:rsidRDefault="00300E47">
            <w:pPr>
              <w:widowControl w:val="0"/>
              <w:spacing w:before="240" w:after="24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300E47">
        <w:trPr>
          <w:trHeight w:val="156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47" w:rsidRDefault="00ED41E0">
            <w:pPr>
              <w:widowControl w:val="0"/>
              <w:spacing w:before="240" w:after="24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Гаранционен срок (месеци)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47" w:rsidRDefault="00ED41E0">
            <w:pPr>
              <w:widowControl w:val="0"/>
              <w:spacing w:before="240"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(двадесет и четири) месеца за частите по т. 5.1 по-долу</w:t>
            </w:r>
          </w:p>
          <w:p w:rsidR="00300E47" w:rsidRDefault="00ED41E0">
            <w:pPr>
              <w:widowControl w:val="0"/>
              <w:spacing w:before="240"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(дванадесет) месеца за частите, подлежащи на ускорена амортизация, посочени </w:t>
            </w:r>
            <w:r>
              <w:rPr>
                <w:sz w:val="16"/>
                <w:szCs w:val="16"/>
              </w:rPr>
              <w:t>в т. 8.2. от „Гаранционни условия“</w:t>
            </w:r>
          </w:p>
        </w:tc>
      </w:tr>
      <w:tr w:rsidR="00300E47">
        <w:trPr>
          <w:trHeight w:val="497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47" w:rsidRDefault="00ED41E0">
            <w:pPr>
              <w:widowControl w:val="0"/>
              <w:spacing w:before="240" w:after="24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Цвят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300E47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300E47" w:rsidRDefault="00300E47">
      <w:pPr>
        <w:rPr>
          <w:b/>
          <w:sz w:val="24"/>
          <w:szCs w:val="24"/>
          <w:lang w:val="en-US"/>
        </w:rPr>
      </w:pPr>
    </w:p>
    <w:p w:rsidR="000D65CB" w:rsidRPr="000D65CB" w:rsidRDefault="000D65CB">
      <w:pPr>
        <w:rPr>
          <w:b/>
          <w:sz w:val="24"/>
          <w:szCs w:val="24"/>
          <w:lang w:val="en-US"/>
        </w:rPr>
      </w:pPr>
    </w:p>
    <w:p w:rsidR="00300E47" w:rsidRDefault="00300E47">
      <w:pPr>
        <w:rPr>
          <w:b/>
          <w:sz w:val="24"/>
          <w:szCs w:val="24"/>
        </w:rPr>
      </w:pPr>
    </w:p>
    <w:p w:rsidR="00300E47" w:rsidRDefault="00ED41E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ЗАДЪЛЖИТЕЛНИ  ПРАВИЛА ЗА </w:t>
      </w:r>
      <w:r>
        <w:rPr>
          <w:b/>
          <w:sz w:val="20"/>
          <w:szCs w:val="20"/>
        </w:rPr>
        <w:t>ЕКСПЛОАТАЦИЯ</w:t>
      </w:r>
    </w:p>
    <w:p w:rsidR="00300E47" w:rsidRDefault="00300E47">
      <w:pPr>
        <w:spacing w:line="240" w:lineRule="auto"/>
        <w:rPr>
          <w:sz w:val="20"/>
          <w:szCs w:val="20"/>
        </w:rPr>
      </w:pPr>
    </w:p>
    <w:p w:rsidR="00300E47" w:rsidRDefault="00ED41E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Ерайдър ООД Ви благодари за направената покупка. Закупеният от Вас продукт отговаря на всички приложими Директиви/Регламенти на ЕС и на изискванията на ЗЦСЦУПС. Със закупуването на продукта всеки клиент получава Ръководството за употреба с </w:t>
      </w:r>
      <w:r>
        <w:rPr>
          <w:sz w:val="18"/>
          <w:szCs w:val="18"/>
        </w:rPr>
        <w:t>превод на български език, Гаранционна карта, Сертификат СЕ и се съгласява, че е уведомен за случаите, в които гаранцията отпада.</w:t>
      </w:r>
    </w:p>
    <w:p w:rsidR="00300E47" w:rsidRDefault="00ED41E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 безопасната и правилна употреба на продукта следва да спазвате стриктно всички изисквания, които са изчерпателно посочени в </w:t>
      </w:r>
      <w:r>
        <w:rPr>
          <w:sz w:val="18"/>
          <w:szCs w:val="18"/>
        </w:rPr>
        <w:t>ръководството за употреба (на хартиен носител или в електронен вариант на сайта на компанията). Задължително се запознайте внимателно с това ръководство и спазвайте инструкциите, посочени в него.</w:t>
      </w:r>
    </w:p>
    <w:p w:rsidR="00300E47" w:rsidRDefault="00300E47">
      <w:pPr>
        <w:jc w:val="both"/>
        <w:rPr>
          <w:sz w:val="18"/>
          <w:szCs w:val="18"/>
          <w:lang w:val="en-US"/>
        </w:rPr>
      </w:pPr>
    </w:p>
    <w:p w:rsidR="000D65CB" w:rsidRDefault="000D65CB">
      <w:pPr>
        <w:jc w:val="both"/>
        <w:rPr>
          <w:sz w:val="18"/>
          <w:szCs w:val="18"/>
          <w:lang w:val="en-US"/>
        </w:rPr>
      </w:pPr>
    </w:p>
    <w:p w:rsidR="000D65CB" w:rsidRDefault="000D65CB">
      <w:pPr>
        <w:jc w:val="both"/>
        <w:rPr>
          <w:sz w:val="18"/>
          <w:szCs w:val="18"/>
          <w:lang w:val="en-US"/>
        </w:rPr>
      </w:pPr>
    </w:p>
    <w:p w:rsidR="000D65CB" w:rsidRPr="000D65CB" w:rsidRDefault="000D65CB">
      <w:pPr>
        <w:jc w:val="both"/>
        <w:rPr>
          <w:sz w:val="18"/>
          <w:szCs w:val="18"/>
          <w:lang w:val="en-US"/>
        </w:rPr>
      </w:pPr>
    </w:p>
    <w:p w:rsidR="00300E47" w:rsidRDefault="00ED41E0">
      <w:pPr>
        <w:jc w:val="center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ВАЖНО!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Използвайте само занулени ел. контакти и при работа </w:t>
      </w:r>
      <w:r>
        <w:rPr>
          <w:sz w:val="18"/>
          <w:szCs w:val="18"/>
        </w:rPr>
        <w:t>не подлагайте изделието на удари и вибрации.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Не използвайте изделието при мокра настилка, както и по време на валежи от дъжд, сняг или градушка. (Почиствайте с мокър парцал, не го мийте с пароструйка и вода под високо налягане)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В случай на намокряне или уп</w:t>
      </w:r>
      <w:r>
        <w:rPr>
          <w:sz w:val="18"/>
          <w:szCs w:val="18"/>
        </w:rPr>
        <w:t xml:space="preserve">отреба на изделието при условията на т.2 гаранцията отпада. 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Изделието може да се използва само от лица, чието тегло е в рамките на допустимото, посочено в Ръководството за употреба.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Изделието НЕ Е подходящо за лица под 14 години</w:t>
      </w:r>
      <w:r>
        <w:rPr>
          <w:sz w:val="18"/>
          <w:szCs w:val="18"/>
        </w:rPr>
        <w:t>. Изделието НЕ МОЖЕ да се и</w:t>
      </w:r>
      <w:r>
        <w:rPr>
          <w:sz w:val="18"/>
          <w:szCs w:val="18"/>
        </w:rPr>
        <w:t>зползва едновременно от повече от едно лице. Изделието не е предназначение за каране по off road терен, скачане и трикове.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Изделието следва да се използва единствено и само с оригиналната батерия, закупена едновременно с него.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Зареждайте изделието единстве</w:t>
      </w:r>
      <w:r>
        <w:rPr>
          <w:sz w:val="18"/>
          <w:szCs w:val="18"/>
        </w:rPr>
        <w:t>но и само със зарядното устройство, предназначено за съответния модел и закупено едновременно с продукта.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За обновяване на системния софтуер на изделието, ползвайте само препоръчани от производителя програми и версии, като стриктно спазвате съответната про</w:t>
      </w:r>
      <w:r>
        <w:rPr>
          <w:sz w:val="18"/>
          <w:szCs w:val="18"/>
        </w:rPr>
        <w:t>цедура. Повредите вследствие на неправилно обновяване (ъпгрейд) не са обект на гаранция;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Винаги съхранявайте продукта на сухо и чисто място при температура от -5° дo + 35° С.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Продуктът трябва да се поддържа и проверява редовно.При интензивна употреба тази </w:t>
      </w:r>
      <w:r>
        <w:rPr>
          <w:sz w:val="18"/>
          <w:szCs w:val="18"/>
        </w:rPr>
        <w:t>поддръжка трябва да се извършва на всеки 3 месеца, а ако продуктът се използва по-рядко – на всеки 6 месеца. Важна част от тази поддръжка е проверката на всички болтове, гайки и свързващи елементи, за да е гарантирано, че продуктът е безопасен и функционир</w:t>
      </w:r>
      <w:r>
        <w:rPr>
          <w:sz w:val="18"/>
          <w:szCs w:val="18"/>
        </w:rPr>
        <w:t>а правилно.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В описанието на продукта, посочено в сайта на производителя и на нашата страница фигурират различни показания за максимална скорост, тъй като за държави извън ЕС производителят е предвидил потенциално по-висока скорост, а за държавите от ЕС, вк</w:t>
      </w:r>
      <w:r>
        <w:rPr>
          <w:sz w:val="18"/>
          <w:szCs w:val="18"/>
        </w:rPr>
        <w:t xml:space="preserve">л. България, тази скорост е ограничена конструктивно до 25 км/ч. в съответствие с изискванията, заложени в европейските регламенти за този вид стока. </w:t>
      </w:r>
    </w:p>
    <w:p w:rsidR="00300E47" w:rsidRDefault="00ED41E0">
      <w:pPr>
        <w:numPr>
          <w:ilvl w:val="0"/>
          <w:numId w:val="2"/>
        </w:num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Препоръки за правилна експлоатация на батерията:</w:t>
      </w:r>
    </w:p>
    <w:p w:rsidR="00300E47" w:rsidRDefault="00ED41E0">
      <w:pPr>
        <w:spacing w:line="240" w:lineRule="auto"/>
        <w:ind w:firstLine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12.1 Съвети за безопасност при работа с литиево-йонни </w:t>
      </w:r>
      <w:r>
        <w:rPr>
          <w:b/>
          <w:sz w:val="18"/>
          <w:szCs w:val="18"/>
        </w:rPr>
        <w:t>батерии</w:t>
      </w:r>
    </w:p>
    <w:p w:rsidR="00300E47" w:rsidRDefault="00ED41E0">
      <w:pPr>
        <w:spacing w:line="240" w:lineRule="auto"/>
        <w:ind w:firstLine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Не изпускайте и не удряйте батерията.</w:t>
      </w:r>
    </w:p>
    <w:p w:rsidR="00300E47" w:rsidRDefault="00ED41E0">
      <w:pPr>
        <w:spacing w:line="240" w:lineRule="auto"/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Не оставяйте батерията в близост до източник на топлина, на влажно или мокро място.</w:t>
      </w:r>
    </w:p>
    <w:p w:rsidR="00300E47" w:rsidRDefault="00ED41E0">
      <w:pPr>
        <w:spacing w:line="240" w:lineRule="auto"/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Не изгаряйте батерията и не я излагайте на прекалено високи температури или пламъци. Това може да доведе до експлозия! В подоб</w:t>
      </w:r>
      <w:r>
        <w:rPr>
          <w:b/>
          <w:sz w:val="18"/>
          <w:szCs w:val="18"/>
        </w:rPr>
        <w:t>ен случай трябва да прекратите използването на батерията и/или зарядното устройство, докато температурата не се понижи.</w:t>
      </w:r>
    </w:p>
    <w:p w:rsidR="00300E47" w:rsidRDefault="00ED41E0">
      <w:pPr>
        <w:spacing w:line="240" w:lineRule="auto"/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Не се опитвайте да режете, разтапяте, продупчвате или ремонтирате батерията. Това може да доведе до изтичане на електролити, които са си</w:t>
      </w:r>
      <w:r>
        <w:rPr>
          <w:b/>
          <w:sz w:val="18"/>
          <w:szCs w:val="18"/>
        </w:rPr>
        <w:t>лно запалими и могат да доведат до физически наранявания.</w:t>
      </w:r>
    </w:p>
    <w:p w:rsidR="00300E47" w:rsidRDefault="00ED41E0">
      <w:pPr>
        <w:spacing w:line="240" w:lineRule="auto"/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Използвайте литиево-йонни батерии само с подходящото за тях зарядно устройство.</w:t>
      </w:r>
    </w:p>
    <w:p w:rsidR="00300E47" w:rsidRDefault="00ED41E0">
      <w:pPr>
        <w:spacing w:line="240" w:lineRule="auto"/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 случай на пожар, за да предотвратите разпространението на пламъците, използвайте пожарогасител, сух химикал, графит </w:t>
      </w:r>
      <w:r>
        <w:rPr>
          <w:b/>
          <w:sz w:val="18"/>
          <w:szCs w:val="18"/>
        </w:rPr>
        <w:t>на прах, мед на прах или натриев карбонат (сода). Ако пламъците от батерията не могат да бъдат потушени, оставете батерията да изгори докрай на проветриво и безопасно място.</w:t>
      </w:r>
    </w:p>
    <w:p w:rsidR="00300E47" w:rsidRDefault="00ED41E0">
      <w:pPr>
        <w:spacing w:line="240" w:lineRule="auto"/>
        <w:ind w:firstLine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Съхранение на литиево-йонните батерии</w:t>
      </w:r>
    </w:p>
    <w:p w:rsidR="00300E47" w:rsidRDefault="00ED41E0">
      <w:pPr>
        <w:spacing w:line="240" w:lineRule="auto"/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Ако трябва да съхранявате батерия известно </w:t>
      </w:r>
      <w:r>
        <w:rPr>
          <w:b/>
          <w:sz w:val="18"/>
          <w:szCs w:val="18"/>
        </w:rPr>
        <w:t>време (месец или повече), без да я използвате, заредете я на 100% и я приберете на сухо и чисто място. Ако батерията не се използва за дълъг период от време е възможно да изгуби заряда си и да се повреди. Следователно, след като батерията не е била използв</w:t>
      </w:r>
      <w:r>
        <w:rPr>
          <w:b/>
          <w:sz w:val="18"/>
          <w:szCs w:val="18"/>
        </w:rPr>
        <w:t>ана известно време, е изключително важно да направите поне един цикъл на пълно разреждане и зареждане на батерията, за да я калибрирате. Ако повтаряте този цикъл всеки месец (най-много на два-три месеца), осигурявате на батерията си добро съхранение и по-д</w:t>
      </w:r>
      <w:r>
        <w:rPr>
          <w:b/>
          <w:sz w:val="18"/>
          <w:szCs w:val="18"/>
        </w:rPr>
        <w:t>ълъг експлоатационен живот.</w:t>
      </w:r>
    </w:p>
    <w:p w:rsidR="00300E47" w:rsidRDefault="00ED41E0">
      <w:pPr>
        <w:spacing w:line="240" w:lineRule="auto"/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12.2 Ерайдър ООД не носи отговорност, ако не са спазени препоръките за съхранение на батерията, съответно не заменя батерии които не са съхранени според препоръките.</w:t>
      </w:r>
      <w:bookmarkStart w:id="1" w:name="_heading=h.30j0zll"/>
      <w:bookmarkEnd w:id="1"/>
    </w:p>
    <w:p w:rsidR="00300E47" w:rsidRDefault="00300E47">
      <w:pPr>
        <w:spacing w:line="240" w:lineRule="auto"/>
        <w:ind w:left="360"/>
        <w:jc w:val="both"/>
        <w:rPr>
          <w:b/>
          <w:sz w:val="18"/>
          <w:szCs w:val="18"/>
          <w:lang w:val="en-US"/>
        </w:rPr>
      </w:pPr>
    </w:p>
    <w:p w:rsidR="00300E47" w:rsidRDefault="00ED41E0">
      <w:pPr>
        <w:spacing w:line="240" w:lineRule="auto"/>
        <w:ind w:left="360"/>
        <w:jc w:val="both"/>
        <w:rPr>
          <w:b/>
          <w:sz w:val="18"/>
          <w:szCs w:val="18"/>
        </w:rPr>
      </w:pPr>
      <w:r>
        <w:rPr>
          <w:b/>
          <w:color w:val="000000"/>
          <w:sz w:val="20"/>
          <w:szCs w:val="20"/>
        </w:rPr>
        <w:t>ГАРАНЦИОННИ УСЛОВИЯ</w:t>
      </w:r>
    </w:p>
    <w:p w:rsidR="00300E47" w:rsidRDefault="00300E47">
      <w:pPr>
        <w:spacing w:line="240" w:lineRule="auto"/>
        <w:ind w:left="360"/>
        <w:jc w:val="both"/>
        <w:rPr>
          <w:b/>
          <w:sz w:val="18"/>
          <w:szCs w:val="18"/>
        </w:rPr>
      </w:pPr>
    </w:p>
    <w:p w:rsidR="00300E47" w:rsidRDefault="00ED41E0">
      <w:pPr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Гаранцията важи само на територията на Р</w:t>
      </w:r>
      <w:r>
        <w:rPr>
          <w:sz w:val="18"/>
          <w:szCs w:val="18"/>
        </w:rPr>
        <w:t xml:space="preserve"> България, като рекламацията</w:t>
      </w:r>
      <w:r>
        <w:rPr>
          <w:sz w:val="18"/>
          <w:szCs w:val="18"/>
        </w:rPr>
        <w:t xml:space="preserve">може да се осъществява безплатно във всеки работен ден, в удобен за вас магазин или сервизен център, от посочените в сайта www.erider.bg. </w:t>
      </w:r>
    </w:p>
    <w:p w:rsidR="00300E47" w:rsidRDefault="00ED41E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Гаранционният срок започва да тече от посочената в тази карта дата на закупуване от крайн</w:t>
      </w:r>
      <w:r>
        <w:rPr>
          <w:sz w:val="18"/>
          <w:szCs w:val="18"/>
        </w:rPr>
        <w:t>ия клиент.</w:t>
      </w:r>
    </w:p>
    <w:p w:rsidR="00300E47" w:rsidRDefault="00ED41E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Гаранционното обслужване се осъществява само при едновременно представянето на коректно попълнени и валидни гаранционни документи заедно с платежни документи, удостоверяващи покупката на продукта (касов бон, фактура). Гаранцията отпада при наруш</w:t>
      </w:r>
      <w:r>
        <w:rPr>
          <w:sz w:val="18"/>
          <w:szCs w:val="18"/>
        </w:rPr>
        <w:t>ен външен вид, поправка или промени в платежния документ и/ или в гаранционната карта.</w:t>
      </w:r>
    </w:p>
    <w:p w:rsidR="00300E47" w:rsidRDefault="00ED41E0">
      <w:pPr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Гаранцията е валидна само за повреди, дължащи се на производствен дефект, който се е проявил в гаранционния срок. Гаранцията не покрива износване на продукта вследствие </w:t>
      </w:r>
      <w:r>
        <w:rPr>
          <w:sz w:val="18"/>
          <w:szCs w:val="18"/>
        </w:rPr>
        <w:t>нормалната му употреба или дефекти причинени от неспазване на Ръководството за експлоатация и тази Гаранционна карта.</w:t>
      </w:r>
    </w:p>
    <w:p w:rsidR="00300E47" w:rsidRDefault="00ED41E0">
      <w:pPr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Претенции за неокомплектованост на изделието се обслужват само в момента на неговото закупуване.</w:t>
      </w:r>
    </w:p>
    <w:p w:rsidR="00300E47" w:rsidRDefault="00ED41E0">
      <w:pPr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Гаранцията важи само за производствени де</w:t>
      </w:r>
      <w:r>
        <w:rPr>
          <w:sz w:val="18"/>
          <w:szCs w:val="18"/>
        </w:rPr>
        <w:t>фекти, установени при отваряне на продукта от служител на    оторизиран сервизен център (сервизните центрове са посочени в края на гаранционната карта на стр. 4).</w:t>
      </w:r>
    </w:p>
    <w:p w:rsidR="00300E47" w:rsidRDefault="00ED41E0">
      <w:pPr>
        <w:numPr>
          <w:ilvl w:val="0"/>
          <w:numId w:val="3"/>
        </w:numPr>
        <w:spacing w:line="240" w:lineRule="auto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Гаранцията отпада при промяна на оригиналния вид на електрическата или конструкционната част,</w:t>
      </w:r>
      <w:r>
        <w:rPr>
          <w:sz w:val="18"/>
          <w:szCs w:val="18"/>
        </w:rPr>
        <w:t xml:space="preserve"> удължаваме на шаси, кормилен прът и др.).</w:t>
      </w:r>
      <w:r>
        <w:rPr>
          <w:sz w:val="18"/>
          <w:szCs w:val="18"/>
        </w:rPr>
        <w:t xml:space="preserve"> При продукти с липсващи етикети, указващи серийни номера или по друг начин специфициращи продукта, или липсващи предпазни стикери, или дефекти, причинени от </w:t>
      </w:r>
      <w:r>
        <w:rPr>
          <w:sz w:val="18"/>
          <w:szCs w:val="18"/>
        </w:rPr>
        <w:lastRenderedPageBreak/>
        <w:t>неправилна употреба и съхранение, като напр., но не само</w:t>
      </w:r>
      <w:r>
        <w:rPr>
          <w:sz w:val="18"/>
          <w:szCs w:val="18"/>
        </w:rPr>
        <w:t>: пукнатини, цепнатини, усуквания, разглобявания или липсващи елемент, следи от изгаряне или проникване на течности, гаранцията отпада и е налице основание за отказ от гаранционно обслужване.</w:t>
      </w:r>
    </w:p>
    <w:p w:rsidR="00300E47" w:rsidRDefault="00ED41E0">
      <w:pPr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Гаранционният срок е, както следва:</w:t>
      </w:r>
    </w:p>
    <w:p w:rsidR="00300E47" w:rsidRDefault="00ED41E0">
      <w:pPr>
        <w:spacing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8.1.      24 (двадесет и чет</w:t>
      </w:r>
      <w:r>
        <w:rPr>
          <w:sz w:val="18"/>
          <w:szCs w:val="18"/>
        </w:rPr>
        <w:t>ири) месеца за всички модели електрически скутери, като гаранционния срок покрива следните части – конструкция на рамка/рама, кормилна стойка, сгъващ механизъм, носачи;</w:t>
      </w:r>
    </w:p>
    <w:p w:rsidR="00300E47" w:rsidRDefault="00ED41E0">
      <w:pPr>
        <w:spacing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8.2.      12 (дванадесет) месеца за - електрически мотор, контролер, батерия, дисплей, </w:t>
      </w:r>
      <w:r>
        <w:rPr>
          <w:sz w:val="18"/>
          <w:szCs w:val="18"/>
        </w:rPr>
        <w:t>зарядно устройство, порт за зареждане, основни и допълнителни светлини.</w:t>
      </w:r>
    </w:p>
    <w:p w:rsidR="00300E47" w:rsidRDefault="00ED41E0">
      <w:pPr>
        <w:spacing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Дълготрайността на батерията и нейните характеристики зависят изцяло от спазването на правилата за експлоатация, описани в ръководството за употреба, на хартиен или друг носител. Батер</w:t>
      </w:r>
      <w:r>
        <w:rPr>
          <w:sz w:val="18"/>
          <w:szCs w:val="18"/>
        </w:rPr>
        <w:t>ията се подменя в рамките на гаранцията по т. 5.2, в случай, че капацитетът и е с 65% или по-малко, спрямо капацитетът и по техническа спецификация.</w:t>
      </w:r>
    </w:p>
    <w:p w:rsidR="00300E47" w:rsidRDefault="00ED41E0">
      <w:pPr>
        <w:spacing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8.3 Гаранция на спирачни апарати  е 180 дни (6 месеца) от датата на покупката.</w:t>
      </w:r>
    </w:p>
    <w:p w:rsidR="00300E47" w:rsidRDefault="00ED41E0">
      <w:pPr>
        <w:spacing w:line="240" w:lineRule="auto"/>
        <w:ind w:firstLine="360"/>
        <w:jc w:val="both"/>
        <w:rPr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9.</w:t>
      </w:r>
      <w:r>
        <w:rPr>
          <w:sz w:val="18"/>
          <w:szCs w:val="18"/>
        </w:rPr>
        <w:t>Гаранцията изключва:</w:t>
      </w:r>
    </w:p>
    <w:p w:rsidR="00300E47" w:rsidRDefault="00ED41E0">
      <w:pPr>
        <w:numPr>
          <w:ilvl w:val="0"/>
          <w:numId w:val="1"/>
        </w:numPr>
        <w:spacing w:line="240" w:lineRule="auto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съста</w:t>
      </w:r>
      <w:r>
        <w:rPr>
          <w:sz w:val="18"/>
          <w:szCs w:val="18"/>
        </w:rPr>
        <w:t>вни части и консумативи, като - гуми (вътрешни/външни); калници; гумени дръжки и основа против подхлъзване; декоративни елементи и покрития - стикери, боя и други; USB портове; степенка; не задвижващо колело; окачване;</w:t>
      </w:r>
      <w:r>
        <w:rPr>
          <w:sz w:val="18"/>
          <w:szCs w:val="18"/>
        </w:rPr>
        <w:t xml:space="preserve"> грешки в софтуера;</w:t>
      </w:r>
    </w:p>
    <w:p w:rsidR="00300E47" w:rsidRDefault="00ED41E0">
      <w:pPr>
        <w:numPr>
          <w:ilvl w:val="0"/>
          <w:numId w:val="1"/>
        </w:numPr>
        <w:spacing w:line="240" w:lineRule="auto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периодична поддръж</w:t>
      </w:r>
      <w:r>
        <w:rPr>
          <w:sz w:val="18"/>
          <w:szCs w:val="18"/>
        </w:rPr>
        <w:t>ка, поправка или подмяна на части, поради нормално им износване;</w:t>
      </w:r>
    </w:p>
    <w:p w:rsidR="00300E47" w:rsidRDefault="00ED41E0">
      <w:pPr>
        <w:numPr>
          <w:ilvl w:val="0"/>
          <w:numId w:val="1"/>
        </w:numPr>
        <w:spacing w:line="240" w:lineRule="auto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повреди, причинени от неправилна употреба и в нарушение с указанията в Ръководството за употреба. Продуктът трябва да се използва според указанията в Ръководството на потребителя;</w:t>
      </w:r>
    </w:p>
    <w:p w:rsidR="00300E47" w:rsidRDefault="00ED41E0">
      <w:pPr>
        <w:numPr>
          <w:ilvl w:val="0"/>
          <w:numId w:val="1"/>
        </w:numPr>
        <w:spacing w:line="240" w:lineRule="auto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повреди, в следствие неспазване на инструкциите на </w:t>
      </w:r>
      <w:r>
        <w:rPr>
          <w:b/>
          <w:sz w:val="18"/>
          <w:szCs w:val="18"/>
        </w:rPr>
        <w:t>Ерайдър ООД</w:t>
      </w:r>
      <w:r>
        <w:rPr>
          <w:sz w:val="18"/>
          <w:szCs w:val="18"/>
        </w:rPr>
        <w:t xml:space="preserve"> за правилна поддръжка на продукта;</w:t>
      </w:r>
    </w:p>
    <w:p w:rsidR="00300E47" w:rsidRDefault="00ED41E0">
      <w:pPr>
        <w:numPr>
          <w:ilvl w:val="0"/>
          <w:numId w:val="1"/>
        </w:numPr>
        <w:spacing w:line="240" w:lineRule="auto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повреди, поради невнимание или в резултат на природни бедствия (мълния, наводнение, пожар и други независещи от</w:t>
      </w:r>
      <w:r>
        <w:rPr>
          <w:b/>
          <w:sz w:val="18"/>
          <w:szCs w:val="18"/>
        </w:rPr>
        <w:t xml:space="preserve"> Ерайдър ООД</w:t>
      </w:r>
      <w:r>
        <w:rPr>
          <w:sz w:val="18"/>
          <w:szCs w:val="18"/>
        </w:rPr>
        <w:t xml:space="preserve"> причини).  </w:t>
      </w:r>
    </w:p>
    <w:p w:rsidR="00300E47" w:rsidRDefault="00ED41E0">
      <w:pPr>
        <w:spacing w:line="240" w:lineRule="auto"/>
        <w:ind w:left="360"/>
        <w:jc w:val="both"/>
        <w:rPr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10.</w:t>
      </w:r>
      <w:r>
        <w:rPr>
          <w:sz w:val="18"/>
          <w:szCs w:val="18"/>
        </w:rPr>
        <w:t>Изделието се приема</w:t>
      </w:r>
      <w:r>
        <w:rPr>
          <w:sz w:val="18"/>
          <w:szCs w:val="18"/>
        </w:rPr>
        <w:t xml:space="preserve"> за гаранционен ремонт само в опаковка, гарантираща безопасното му транспортиране.</w:t>
      </w:r>
    </w:p>
    <w:p w:rsidR="00300E47" w:rsidRDefault="00ED41E0">
      <w:pPr>
        <w:spacing w:line="240" w:lineRule="auto"/>
        <w:ind w:left="360"/>
        <w:jc w:val="both"/>
        <w:rPr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11</w:t>
      </w:r>
      <w:r>
        <w:rPr>
          <w:sz w:val="18"/>
          <w:szCs w:val="18"/>
        </w:rPr>
        <w:t>.Гаранционното обслужване се осъществява само в сервизните центрове на Продавача.</w:t>
      </w:r>
    </w:p>
    <w:p w:rsidR="00300E47" w:rsidRDefault="00ED41E0">
      <w:pPr>
        <w:spacing w:line="240" w:lineRule="auto"/>
        <w:ind w:left="360"/>
        <w:jc w:val="both"/>
        <w:rPr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12</w:t>
      </w:r>
      <w:r>
        <w:rPr>
          <w:sz w:val="18"/>
          <w:szCs w:val="18"/>
        </w:rPr>
        <w:t>.Повреди, дължащи се на лош транспорт, неподходящо съхранение, неспазване на указанията</w:t>
      </w:r>
      <w:r>
        <w:rPr>
          <w:sz w:val="18"/>
          <w:szCs w:val="18"/>
        </w:rPr>
        <w:t xml:space="preserve"> в съпровождащата документация, незаземяване, неизправности в електрическата мрежа, природни бедствия и форсмажорни обстоятелства, ползване на некачествени консумативи, опит за отстраняване на дефект от неупълномощени лица или по други причини, независещи </w:t>
      </w:r>
      <w:r>
        <w:rPr>
          <w:sz w:val="18"/>
          <w:szCs w:val="18"/>
        </w:rPr>
        <w:t>от Продавача, се отстраняват за сметка на клиента.</w:t>
      </w:r>
    </w:p>
    <w:p w:rsidR="00300E47" w:rsidRDefault="00ED41E0">
      <w:pPr>
        <w:spacing w:line="240" w:lineRule="auto"/>
        <w:ind w:left="360"/>
        <w:jc w:val="both"/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13</w:t>
      </w:r>
      <w:r>
        <w:rPr>
          <w:sz w:val="18"/>
          <w:szCs w:val="18"/>
        </w:rPr>
        <w:t>.</w:t>
      </w:r>
      <w:r>
        <w:rPr>
          <w:sz w:val="18"/>
          <w:szCs w:val="18"/>
        </w:rPr>
        <w:t xml:space="preserve">Ако в гаранционния срок продуктът бъде продаден от Купувача на трето лице, по отношение на него не започва да тече нов гаранционен срок, а се запазва продължителността на посочените по-горе гаранционни </w:t>
      </w:r>
      <w:r>
        <w:rPr>
          <w:sz w:val="18"/>
          <w:szCs w:val="18"/>
        </w:rPr>
        <w:t>срокове единствено и само при стриктно спазване на всички изисквания, които са изчерпателно посочени в тази гаранционна карта и в ръководството за употреба на продукта.</w:t>
      </w:r>
    </w:p>
    <w:p w:rsidR="00300E47" w:rsidRDefault="00ED41E0">
      <w:pPr>
        <w:spacing w:line="240" w:lineRule="auto"/>
        <w:ind w:left="36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14</w:t>
      </w:r>
      <w:r>
        <w:rPr>
          <w:sz w:val="18"/>
          <w:szCs w:val="18"/>
        </w:rPr>
        <w:t>.Продавачът не носи отговорност за възможни материални и нематериални щети, както и з</w:t>
      </w:r>
      <w:r>
        <w:rPr>
          <w:sz w:val="18"/>
          <w:szCs w:val="18"/>
        </w:rPr>
        <w:t>а пропуснати ползи, вследствие на невъзможността на Купувача да използва изделието.</w:t>
      </w:r>
    </w:p>
    <w:p w:rsidR="00300E47" w:rsidRDefault="00300E47">
      <w:pPr>
        <w:spacing w:line="240" w:lineRule="auto"/>
        <w:ind w:left="360"/>
        <w:jc w:val="both"/>
        <w:rPr>
          <w:sz w:val="18"/>
          <w:szCs w:val="18"/>
        </w:rPr>
      </w:pPr>
    </w:p>
    <w:p w:rsidR="00300E47" w:rsidRDefault="00ED41E0">
      <w:pPr>
        <w:spacing w:after="240" w:line="240" w:lineRule="auto"/>
        <w:rPr>
          <w:b/>
          <w:sz w:val="18"/>
          <w:szCs w:val="18"/>
        </w:rPr>
      </w:pPr>
      <w:r>
        <w:rPr>
          <w:b/>
          <w:sz w:val="21"/>
          <w:szCs w:val="21"/>
        </w:rPr>
        <w:t>ВРЪЩАНЕ И РЕМОНТ ПО ГАРАНЦИЯ</w:t>
      </w:r>
    </w:p>
    <w:p w:rsidR="00300E47" w:rsidRDefault="00ED41E0">
      <w:pPr>
        <w:spacing w:line="240" w:lineRule="auto"/>
        <w:ind w:left="284"/>
        <w:jc w:val="both"/>
      </w:pPr>
      <w:r>
        <w:rPr>
          <w:b/>
          <w:bCs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Когато несъответствието се отстранява чрез ремонт или замяна на стоките, потребителят предоставя стоките на разположение на продавача. При з</w:t>
      </w:r>
      <w:r>
        <w:rPr>
          <w:sz w:val="18"/>
          <w:szCs w:val="18"/>
          <w:lang w:val="en-US"/>
        </w:rPr>
        <w:t>амяна настоките продавачът взема заменените стоки обратно от потребителя за своя сметка.</w:t>
      </w:r>
    </w:p>
    <w:p w:rsidR="00300E47" w:rsidRDefault="00300E47">
      <w:pPr>
        <w:spacing w:line="240" w:lineRule="auto"/>
        <w:ind w:left="284"/>
        <w:jc w:val="both"/>
        <w:rPr>
          <w:sz w:val="18"/>
          <w:szCs w:val="18"/>
        </w:rPr>
      </w:pPr>
    </w:p>
    <w:p w:rsidR="00300E47" w:rsidRDefault="00ED41E0">
      <w:pPr>
        <w:spacing w:line="240" w:lineRule="auto"/>
        <w:ind w:left="284"/>
        <w:jc w:val="both"/>
      </w:pPr>
      <w:r>
        <w:rPr>
          <w:b/>
          <w:bCs/>
          <w:sz w:val="18"/>
          <w:szCs w:val="18"/>
        </w:rPr>
        <w:t>2</w:t>
      </w:r>
      <w:r>
        <w:rPr>
          <w:sz w:val="18"/>
          <w:szCs w:val="18"/>
        </w:rPr>
        <w:t>.Поправката се извършва чрез ремонт в рамките на един месец, считано от датата на направената от клиента рекламация, осъществена по реда на приложимото законодателст</w:t>
      </w:r>
      <w:r>
        <w:rPr>
          <w:sz w:val="18"/>
          <w:szCs w:val="18"/>
        </w:rPr>
        <w:t>во.</w:t>
      </w:r>
    </w:p>
    <w:p w:rsidR="00300E47" w:rsidRDefault="00300E47">
      <w:pPr>
        <w:spacing w:line="240" w:lineRule="auto"/>
        <w:ind w:left="284"/>
        <w:jc w:val="both"/>
        <w:rPr>
          <w:sz w:val="18"/>
          <w:szCs w:val="18"/>
        </w:rPr>
      </w:pPr>
    </w:p>
    <w:p w:rsidR="00300E47" w:rsidRDefault="00ED41E0">
      <w:pPr>
        <w:spacing w:line="240" w:lineRule="auto"/>
        <w:ind w:left="284"/>
        <w:rPr>
          <w:sz w:val="18"/>
          <w:szCs w:val="18"/>
        </w:rPr>
      </w:pPr>
      <w:r>
        <w:rPr>
          <w:sz w:val="18"/>
          <w:szCs w:val="18"/>
        </w:rPr>
        <w:t>3.Връщане на гаранционен продукт до подателя за ремонт в случай, че клиента е от др</w:t>
      </w:r>
      <w:r>
        <w:rPr>
          <w:sz w:val="18"/>
          <w:szCs w:val="18"/>
        </w:rPr>
        <w:t>уго населено място, където няма гаранционен сервиз на фирмата продавач става при следните условия:</w:t>
      </w:r>
    </w:p>
    <w:p w:rsidR="00300E47" w:rsidRDefault="00ED41E0">
      <w:pPr>
        <w:spacing w:line="24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3.1 В случай че настъпи гаранционно събитие (производствен дефект,или</w:t>
      </w:r>
      <w:r>
        <w:rPr>
          <w:sz w:val="18"/>
          <w:szCs w:val="18"/>
        </w:rPr>
        <w:t xml:space="preserve"> изгорял електрически компонент ) в 14 дневен срок от получаването на продукта, фирмата продавач поема всички транспортни и ремонтни разходи.</w:t>
      </w:r>
    </w:p>
    <w:p w:rsidR="00300E47" w:rsidRDefault="00ED41E0">
      <w:pPr>
        <w:spacing w:line="24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 Ако гаранционното събитие (производствен дефект или изгорял ел.компонент) е след този 14 дневен срок, фирмата </w:t>
      </w:r>
      <w:r>
        <w:rPr>
          <w:sz w:val="18"/>
          <w:szCs w:val="18"/>
        </w:rPr>
        <w:t>продавач поема всички гаранционни и ремонтни разходи, а транспортните разходи по изпращане и връщане на продукта са за сметка на клиента.</w:t>
      </w:r>
    </w:p>
    <w:p w:rsidR="00300E47" w:rsidRDefault="00300E47">
      <w:pPr>
        <w:spacing w:line="240" w:lineRule="auto"/>
        <w:jc w:val="both"/>
        <w:rPr>
          <w:sz w:val="18"/>
          <w:szCs w:val="18"/>
        </w:rPr>
      </w:pPr>
    </w:p>
    <w:p w:rsidR="00300E47" w:rsidRDefault="00300E47">
      <w:pPr>
        <w:spacing w:line="240" w:lineRule="auto"/>
        <w:jc w:val="both"/>
        <w:rPr>
          <w:sz w:val="18"/>
          <w:szCs w:val="18"/>
        </w:rPr>
      </w:pPr>
    </w:p>
    <w:p w:rsidR="00300E47" w:rsidRDefault="00300E47">
      <w:pPr>
        <w:spacing w:line="240" w:lineRule="auto"/>
        <w:jc w:val="both"/>
        <w:rPr>
          <w:sz w:val="18"/>
          <w:szCs w:val="18"/>
        </w:rPr>
      </w:pPr>
    </w:p>
    <w:p w:rsidR="00300E47" w:rsidRDefault="00300E47">
      <w:pPr>
        <w:spacing w:line="240" w:lineRule="auto"/>
        <w:jc w:val="both"/>
        <w:rPr>
          <w:sz w:val="20"/>
          <w:szCs w:val="20"/>
        </w:rPr>
      </w:pPr>
    </w:p>
    <w:p w:rsidR="00300E47" w:rsidRDefault="00ED41E0">
      <w:pPr>
        <w:spacing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ПРАВА НА ПОТРЕБИТЕЛЯ СЪГЛАСНО ЗПЦСЦУПС</w:t>
      </w:r>
    </w:p>
    <w:p w:rsidR="00300E47" w:rsidRDefault="00300E47">
      <w:pPr>
        <w:spacing w:line="240" w:lineRule="auto"/>
        <w:jc w:val="center"/>
        <w:rPr>
          <w:b/>
          <w:sz w:val="18"/>
          <w:szCs w:val="18"/>
        </w:rPr>
      </w:pPr>
    </w:p>
    <w:p w:rsidR="00300E47" w:rsidRDefault="00ED41E0">
      <w:pPr>
        <w:spacing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Чл. 33.</w:t>
      </w:r>
      <w:r>
        <w:rPr>
          <w:sz w:val="18"/>
          <w:szCs w:val="18"/>
        </w:rPr>
        <w:t xml:space="preserve"> (1) Когато стоките не отговарят на индивидуалните изисквания за съответствие с договора, на обективните изисквания за съответствие и на изискванията за монтиране или инсталиране на стоките, потребителят има право:</w:t>
      </w:r>
    </w:p>
    <w:p w:rsidR="00300E47" w:rsidRDefault="00ED41E0">
      <w:pPr>
        <w:ind w:left="60"/>
        <w:jc w:val="both"/>
        <w:rPr>
          <w:sz w:val="18"/>
          <w:szCs w:val="18"/>
        </w:rPr>
      </w:pPr>
      <w:bookmarkStart w:id="2" w:name="_heading=h.1fob9te"/>
      <w:bookmarkEnd w:id="2"/>
      <w:r>
        <w:rPr>
          <w:b/>
          <w:bCs/>
          <w:sz w:val="18"/>
          <w:szCs w:val="18"/>
        </w:rPr>
        <w:t>1</w:t>
      </w:r>
      <w:r>
        <w:rPr>
          <w:sz w:val="18"/>
          <w:szCs w:val="18"/>
        </w:rPr>
        <w:t>.да предяви рекламация, като поиска от п</w:t>
      </w:r>
      <w:r>
        <w:rPr>
          <w:sz w:val="18"/>
          <w:szCs w:val="18"/>
        </w:rPr>
        <w:t>родавача да приведе стоката в съответствие;</w:t>
      </w:r>
    </w:p>
    <w:p w:rsidR="00300E47" w:rsidRDefault="00ED41E0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2.</w:t>
      </w:r>
      <w:r>
        <w:rPr>
          <w:sz w:val="18"/>
          <w:szCs w:val="18"/>
        </w:rPr>
        <w:t xml:space="preserve"> да получи пропорционално намаляване на цената;</w:t>
      </w:r>
    </w:p>
    <w:p w:rsidR="00300E47" w:rsidRDefault="00ED41E0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>. да развали договора.</w:t>
      </w:r>
    </w:p>
    <w:p w:rsidR="00300E47" w:rsidRDefault="00300E47">
      <w:pPr>
        <w:rPr>
          <w:sz w:val="18"/>
          <w:szCs w:val="18"/>
        </w:rPr>
      </w:pPr>
    </w:p>
    <w:p w:rsidR="00300E47" w:rsidRDefault="00ED41E0">
      <w:pPr>
        <w:rPr>
          <w:sz w:val="18"/>
          <w:szCs w:val="18"/>
        </w:rPr>
      </w:pPr>
      <w:r>
        <w:rPr>
          <w:sz w:val="18"/>
          <w:szCs w:val="18"/>
        </w:rPr>
        <w:t>Препоръчително е преди да посетите сервиз да се свържете с него на посочените по-долу или в сайта телефон или имейл.</w:t>
      </w:r>
    </w:p>
    <w:p w:rsidR="00300E47" w:rsidRDefault="00300E47">
      <w:pPr>
        <w:rPr>
          <w:b/>
          <w:sz w:val="16"/>
          <w:szCs w:val="16"/>
        </w:rPr>
      </w:pPr>
    </w:p>
    <w:p w:rsidR="00300E47" w:rsidRDefault="00300E47">
      <w:pPr>
        <w:rPr>
          <w:b/>
          <w:sz w:val="16"/>
          <w:szCs w:val="16"/>
        </w:rPr>
      </w:pPr>
    </w:p>
    <w:p w:rsidR="00300E47" w:rsidRDefault="00ED41E0">
      <w:pPr>
        <w:rPr>
          <w:sz w:val="20"/>
          <w:szCs w:val="20"/>
        </w:rPr>
      </w:pPr>
      <w:r>
        <w:rPr>
          <w:b/>
          <w:sz w:val="20"/>
          <w:szCs w:val="20"/>
        </w:rPr>
        <w:t>СЕРВИЗНИ ЦЕНТРОВЕ</w:t>
      </w:r>
    </w:p>
    <w:tbl>
      <w:tblPr>
        <w:tblW w:w="9991" w:type="dxa"/>
        <w:tblInd w:w="-99" w:type="dxa"/>
        <w:tblLayout w:type="fixed"/>
        <w:tblLook w:val="0600"/>
      </w:tblPr>
      <w:tblGrid>
        <w:gridCol w:w="4603"/>
        <w:gridCol w:w="5102"/>
        <w:gridCol w:w="286"/>
      </w:tblGrid>
      <w:tr w:rsidR="00300E47">
        <w:trPr>
          <w:trHeight w:val="516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ED41E0">
            <w:pPr>
              <w:widowControl w:val="0"/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София -Ерайдър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ED41E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бул.Гоце Делчев76 тел. 0883699778</w:t>
            </w:r>
          </w:p>
          <w:p w:rsidR="00300E47" w:rsidRDefault="00ED41E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раб. време:……………………</w:t>
            </w:r>
          </w:p>
        </w:tc>
        <w:tc>
          <w:tcPr>
            <w:tcW w:w="286" w:type="dxa"/>
          </w:tcPr>
          <w:p w:rsidR="00300E47" w:rsidRDefault="00300E47">
            <w:pPr>
              <w:widowControl w:val="0"/>
              <w:spacing w:after="240"/>
              <w:rPr>
                <w:b/>
                <w:sz w:val="16"/>
                <w:szCs w:val="16"/>
              </w:rPr>
            </w:pPr>
          </w:p>
        </w:tc>
      </w:tr>
      <w:tr w:rsidR="00300E47">
        <w:trPr>
          <w:trHeight w:val="446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ED41E0">
            <w:pPr>
              <w:widowControl w:val="0"/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Пловдив - Go Electric Plovdiv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ED41E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ул.Средец 60 - тел. 0876583758</w:t>
            </w:r>
          </w:p>
          <w:p w:rsidR="00300E47" w:rsidRDefault="00ED41E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раб. време:……………………</w:t>
            </w:r>
          </w:p>
        </w:tc>
        <w:tc>
          <w:tcPr>
            <w:tcW w:w="286" w:type="dxa"/>
          </w:tcPr>
          <w:p w:rsidR="00300E47" w:rsidRDefault="00300E47">
            <w:pPr>
              <w:widowControl w:val="0"/>
              <w:spacing w:after="240"/>
              <w:rPr>
                <w:b/>
                <w:sz w:val="16"/>
                <w:szCs w:val="16"/>
              </w:rPr>
            </w:pPr>
          </w:p>
        </w:tc>
      </w:tr>
      <w:tr w:rsidR="00300E47">
        <w:trPr>
          <w:trHeight w:val="436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ED41E0">
            <w:pPr>
              <w:widowControl w:val="0"/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Варна - Power Service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ED41E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Васил Априлов 5 тел. 0887992141, раб. време:……………………</w:t>
            </w:r>
          </w:p>
        </w:tc>
        <w:tc>
          <w:tcPr>
            <w:tcW w:w="286" w:type="dxa"/>
          </w:tcPr>
          <w:p w:rsidR="00300E47" w:rsidRDefault="00300E47">
            <w:pPr>
              <w:widowControl w:val="0"/>
              <w:spacing w:after="240"/>
              <w:rPr>
                <w:b/>
                <w:sz w:val="16"/>
                <w:szCs w:val="16"/>
              </w:rPr>
            </w:pPr>
          </w:p>
        </w:tc>
      </w:tr>
      <w:tr w:rsidR="00300E47">
        <w:trPr>
          <w:trHeight w:val="504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ED41E0">
            <w:pPr>
              <w:widowControl w:val="0"/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Стара Загора - eRider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ED41E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бул. Генерал Столетов 105 тел. 0887991014, раб. време:……………………</w:t>
            </w:r>
          </w:p>
        </w:tc>
        <w:tc>
          <w:tcPr>
            <w:tcW w:w="286" w:type="dxa"/>
          </w:tcPr>
          <w:p w:rsidR="00300E47" w:rsidRDefault="00300E47">
            <w:pPr>
              <w:widowControl w:val="0"/>
              <w:spacing w:after="240"/>
              <w:rPr>
                <w:b/>
                <w:sz w:val="16"/>
                <w:szCs w:val="16"/>
              </w:rPr>
            </w:pPr>
          </w:p>
        </w:tc>
      </w:tr>
      <w:tr w:rsidR="00300E47">
        <w:trPr>
          <w:trHeight w:val="504"/>
        </w:trPr>
        <w:tc>
          <w:tcPr>
            <w:tcW w:w="46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ED41E0">
            <w:pPr>
              <w:widowControl w:val="0"/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Пловдив – Екстрийм Скутерс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ED41E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Бул.Шести септември 84  тел.088 9999538</w:t>
            </w:r>
          </w:p>
          <w:p w:rsidR="00300E47" w:rsidRDefault="00ED41E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раб. време:………</w:t>
            </w:r>
          </w:p>
        </w:tc>
        <w:tc>
          <w:tcPr>
            <w:tcW w:w="286" w:type="dxa"/>
          </w:tcPr>
          <w:p w:rsidR="00300E47" w:rsidRDefault="00300E47">
            <w:pPr>
              <w:widowControl w:val="0"/>
              <w:spacing w:after="240"/>
              <w:rPr>
                <w:b/>
                <w:sz w:val="16"/>
                <w:szCs w:val="16"/>
              </w:rPr>
            </w:pPr>
          </w:p>
        </w:tc>
      </w:tr>
    </w:tbl>
    <w:p w:rsidR="00300E47" w:rsidRDefault="00300E47">
      <w:pPr>
        <w:spacing w:after="120"/>
        <w:rPr>
          <w:b/>
          <w:sz w:val="16"/>
          <w:szCs w:val="16"/>
          <w:lang w:val="en-US"/>
        </w:rPr>
      </w:pPr>
    </w:p>
    <w:p w:rsidR="00300E47" w:rsidRDefault="00ED41E0">
      <w:pPr>
        <w:spacing w:after="120"/>
        <w:rPr>
          <w:sz w:val="18"/>
          <w:szCs w:val="18"/>
        </w:rPr>
      </w:pPr>
      <w:r>
        <w:rPr>
          <w:b/>
          <w:sz w:val="18"/>
          <w:szCs w:val="18"/>
        </w:rPr>
        <w:t xml:space="preserve">Ерайдър ООД моли най-любезно всички клиенти да почистват тротинетките преди да ги транспортират до </w:t>
      </w:r>
      <w:r>
        <w:rPr>
          <w:b/>
          <w:sz w:val="18"/>
          <w:szCs w:val="18"/>
        </w:rPr>
        <w:t>сервизните центрове!</w:t>
      </w:r>
    </w:p>
    <w:p w:rsidR="00300E47" w:rsidRDefault="00ED41E0">
      <w:pPr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РЕМОНТИ В ГАРАНЦИОНЕН СРОК</w:t>
      </w:r>
    </w:p>
    <w:tbl>
      <w:tblPr>
        <w:tblW w:w="10140" w:type="dxa"/>
        <w:tblInd w:w="-103" w:type="dxa"/>
        <w:tblLayout w:type="fixed"/>
        <w:tblLook w:val="0400"/>
      </w:tblPr>
      <w:tblGrid>
        <w:gridCol w:w="1702"/>
        <w:gridCol w:w="1810"/>
        <w:gridCol w:w="3400"/>
        <w:gridCol w:w="1697"/>
        <w:gridCol w:w="1531"/>
      </w:tblGrid>
      <w:tr w:rsidR="00300E47">
        <w:trPr>
          <w:trHeight w:val="8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ED41E0">
            <w:pPr>
              <w:widowControl w:val="0"/>
              <w:spacing w:before="240" w:after="240"/>
              <w:ind w:left="113"/>
              <w:rPr>
                <w:sz w:val="16"/>
                <w:szCs w:val="16"/>
              </w:rPr>
            </w:pPr>
            <w:bookmarkStart w:id="3" w:name="_heading=h.3znysh7"/>
            <w:bookmarkEnd w:id="3"/>
            <w:r>
              <w:rPr>
                <w:sz w:val="16"/>
                <w:szCs w:val="16"/>
              </w:rPr>
              <w:t>Дата на постъпване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ED41E0">
            <w:pPr>
              <w:widowControl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 ремонтиране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ED41E0">
            <w:pPr>
              <w:widowControl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Описание на извършения ремонт и сменени части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ED41E0">
            <w:pPr>
              <w:widowControl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Удължаване на гаранцията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ED41E0">
            <w:pPr>
              <w:widowControl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 и печат           на сервиза</w:t>
            </w:r>
          </w:p>
        </w:tc>
      </w:tr>
      <w:tr w:rsidR="00300E47">
        <w:trPr>
          <w:trHeight w:hRule="exact" w:val="8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</w:tr>
      <w:tr w:rsidR="00300E47">
        <w:trPr>
          <w:trHeight w:hRule="exact" w:val="864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</w:tr>
      <w:tr w:rsidR="00300E47">
        <w:trPr>
          <w:trHeight w:hRule="exact" w:val="864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</w:tr>
      <w:tr w:rsidR="00300E47">
        <w:trPr>
          <w:trHeight w:hRule="exact" w:val="864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</w:tr>
      <w:tr w:rsidR="00300E47">
        <w:trPr>
          <w:trHeight w:hRule="exact" w:val="864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47" w:rsidRDefault="00300E47">
            <w:pPr>
              <w:widowControl w:val="0"/>
              <w:spacing w:before="240" w:after="240"/>
              <w:rPr>
                <w:b/>
                <w:sz w:val="16"/>
                <w:szCs w:val="16"/>
              </w:rPr>
            </w:pPr>
          </w:p>
        </w:tc>
      </w:tr>
    </w:tbl>
    <w:p w:rsidR="00300E47" w:rsidRDefault="00300E47">
      <w:pPr>
        <w:rPr>
          <w:b/>
          <w:sz w:val="16"/>
          <w:szCs w:val="16"/>
          <w:lang w:val="en-US"/>
        </w:rPr>
      </w:pPr>
      <w:bookmarkStart w:id="4" w:name="_heading=h.2et92p0"/>
      <w:bookmarkEnd w:id="4"/>
    </w:p>
    <w:p w:rsidR="00300E47" w:rsidRDefault="00300E47">
      <w:pPr>
        <w:spacing w:line="240" w:lineRule="auto"/>
        <w:rPr>
          <w:b/>
        </w:rPr>
      </w:pPr>
    </w:p>
    <w:p w:rsidR="00300E47" w:rsidRDefault="00300E47">
      <w:pPr>
        <w:spacing w:line="240" w:lineRule="auto"/>
        <w:rPr>
          <w:b/>
        </w:rPr>
      </w:pPr>
    </w:p>
    <w:p w:rsidR="00300E47" w:rsidRDefault="00ED41E0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ОТКАЗАНА ГАРАНЦИЯ</w:t>
      </w:r>
    </w:p>
    <w:p w:rsidR="00300E47" w:rsidRDefault="00300E47">
      <w:pPr>
        <w:spacing w:line="240" w:lineRule="auto"/>
        <w:rPr>
          <w:b/>
          <w:sz w:val="16"/>
          <w:szCs w:val="16"/>
          <w:lang w:val="en-US"/>
        </w:rPr>
      </w:pPr>
    </w:p>
    <w:tbl>
      <w:tblPr>
        <w:tblW w:w="10008" w:type="dxa"/>
        <w:tblInd w:w="-99" w:type="dxa"/>
        <w:tblLayout w:type="fixed"/>
        <w:tblLook w:val="0600"/>
      </w:tblPr>
      <w:tblGrid>
        <w:gridCol w:w="2101"/>
        <w:gridCol w:w="2967"/>
        <w:gridCol w:w="3046"/>
        <w:gridCol w:w="1894"/>
      </w:tblGrid>
      <w:tr w:rsidR="00300E4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0E47" w:rsidRDefault="00ED41E0">
            <w:pPr>
              <w:keepNext/>
              <w:keepLines/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Дата на </w:t>
            </w:r>
            <w:r>
              <w:rPr>
                <w:color w:val="000000"/>
                <w:sz w:val="16"/>
                <w:szCs w:val="16"/>
              </w:rPr>
              <w:t>отказа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0E47" w:rsidRDefault="00ED41E0">
            <w:pPr>
              <w:keepNext/>
              <w:keepLines/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Състояние на продукта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0E47" w:rsidRDefault="00ED41E0">
            <w:pPr>
              <w:keepNext/>
              <w:keepLines/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Причина за отказа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0E47" w:rsidRDefault="00ED41E0">
            <w:pPr>
              <w:keepNext/>
              <w:keepLines/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 и печат на сервиза</w:t>
            </w:r>
          </w:p>
        </w:tc>
      </w:tr>
      <w:tr w:rsidR="00300E4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300E47">
            <w:pPr>
              <w:keepNext/>
              <w:keepLines/>
              <w:widowControl w:val="0"/>
              <w:spacing w:before="480" w:after="12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300E47">
            <w:pPr>
              <w:keepNext/>
              <w:keepLines/>
              <w:widowControl w:val="0"/>
              <w:spacing w:before="480" w:after="12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300E47">
            <w:pPr>
              <w:keepNext/>
              <w:keepLines/>
              <w:widowControl w:val="0"/>
              <w:spacing w:before="480" w:after="12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E47" w:rsidRDefault="00300E47">
            <w:pPr>
              <w:keepNext/>
              <w:keepLines/>
              <w:widowControl w:val="0"/>
              <w:spacing w:before="480" w:after="12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300E47" w:rsidRDefault="00300E47">
      <w:pPr>
        <w:spacing w:before="480" w:after="120"/>
        <w:rPr>
          <w:sz w:val="20"/>
          <w:szCs w:val="20"/>
        </w:rPr>
      </w:pPr>
    </w:p>
    <w:p w:rsidR="00300E47" w:rsidRDefault="00ED41E0">
      <w:pPr>
        <w:spacing w:before="480" w:after="120"/>
        <w:rPr>
          <w:sz w:val="18"/>
          <w:szCs w:val="18"/>
        </w:rPr>
      </w:pPr>
      <w:r>
        <w:rPr>
          <w:sz w:val="18"/>
          <w:szCs w:val="18"/>
        </w:rPr>
        <w:t>Тази гаранционна карта съдържа 4(четири) страници и е предоставена на клиента при закупуване на продукта, което се удостоверява с положения по-долу от него подпис.</w:t>
      </w:r>
    </w:p>
    <w:p w:rsidR="00300E47" w:rsidRDefault="00ED41E0">
      <w:pPr>
        <w:spacing w:before="480" w:after="120"/>
        <w:rPr>
          <w:sz w:val="18"/>
          <w:szCs w:val="18"/>
        </w:rPr>
      </w:pPr>
      <w:r>
        <w:rPr>
          <w:sz w:val="18"/>
          <w:szCs w:val="18"/>
        </w:rPr>
        <w:t xml:space="preserve">Получил </w:t>
      </w:r>
      <w:r>
        <w:rPr>
          <w:sz w:val="18"/>
          <w:szCs w:val="18"/>
        </w:rPr>
        <w:t>гаранционната карта:.............................................................................................................................</w:t>
      </w:r>
    </w:p>
    <w:p w:rsidR="00300E47" w:rsidRDefault="00ED41E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 и три имена)</w:t>
      </w:r>
    </w:p>
    <w:sectPr w:rsidR="00300E47" w:rsidSect="00300E47">
      <w:footerReference w:type="even" r:id="rId10"/>
      <w:footerReference w:type="default" r:id="rId11"/>
      <w:pgSz w:w="11906" w:h="16838"/>
      <w:pgMar w:top="992" w:right="992" w:bottom="1050" w:left="992" w:header="0" w:footer="992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E0" w:rsidRDefault="00ED41E0" w:rsidP="00300E47">
      <w:pPr>
        <w:spacing w:line="240" w:lineRule="auto"/>
      </w:pPr>
      <w:r>
        <w:separator/>
      </w:r>
    </w:p>
  </w:endnote>
  <w:endnote w:type="continuationSeparator" w:id="1">
    <w:p w:rsidR="00ED41E0" w:rsidRDefault="00ED41E0" w:rsidP="00300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47" w:rsidRDefault="00300E47">
    <w:pPr>
      <w:tabs>
        <w:tab w:val="center" w:pos="4961"/>
        <w:tab w:val="right" w:pos="992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 w:rsidR="00ED41E0"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0D65CB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47" w:rsidRDefault="00300E47">
    <w:pPr>
      <w:tabs>
        <w:tab w:val="center" w:pos="4961"/>
        <w:tab w:val="right" w:pos="992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 w:rsidR="00ED41E0"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0D65CB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E0" w:rsidRDefault="00ED41E0" w:rsidP="00300E47">
      <w:pPr>
        <w:spacing w:line="240" w:lineRule="auto"/>
      </w:pPr>
      <w:r>
        <w:separator/>
      </w:r>
    </w:p>
  </w:footnote>
  <w:footnote w:type="continuationSeparator" w:id="1">
    <w:p w:rsidR="00ED41E0" w:rsidRDefault="00ED41E0" w:rsidP="00300E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7527"/>
    <w:multiLevelType w:val="multilevel"/>
    <w:tmpl w:val="4C42F5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>
    <w:nsid w:val="2EF81543"/>
    <w:multiLevelType w:val="multilevel"/>
    <w:tmpl w:val="E28A6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BD0157"/>
    <w:multiLevelType w:val="multilevel"/>
    <w:tmpl w:val="1A6029F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nsid w:val="73E74273"/>
    <w:multiLevelType w:val="multilevel"/>
    <w:tmpl w:val="00FE59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E47"/>
    <w:rsid w:val="000D65CB"/>
    <w:rsid w:val="00300E47"/>
    <w:rsid w:val="00ED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6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1727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1727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1727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1727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17272C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1727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a3">
    <w:name w:val="Силно акцентиран"/>
    <w:qFormat/>
    <w:rsid w:val="004B446B"/>
    <w:rPr>
      <w:b/>
      <w:bCs/>
    </w:rPr>
  </w:style>
  <w:style w:type="character" w:customStyle="1" w:styleId="a4">
    <w:name w:val="Изнесен текст Знак"/>
    <w:basedOn w:val="a0"/>
    <w:uiPriority w:val="99"/>
    <w:semiHidden/>
    <w:qFormat/>
    <w:rsid w:val="00630566"/>
    <w:rPr>
      <w:rFonts w:ascii="Tahoma" w:hAnsi="Tahoma" w:cs="Tahoma"/>
      <w:sz w:val="16"/>
      <w:szCs w:val="16"/>
    </w:rPr>
  </w:style>
  <w:style w:type="character" w:customStyle="1" w:styleId="a5">
    <w:name w:val="Горен колонтитул Знак"/>
    <w:basedOn w:val="a0"/>
    <w:uiPriority w:val="99"/>
    <w:qFormat/>
    <w:rsid w:val="00900859"/>
  </w:style>
  <w:style w:type="character" w:customStyle="1" w:styleId="a6">
    <w:name w:val="Долен колонтитул Знак"/>
    <w:basedOn w:val="a0"/>
    <w:uiPriority w:val="99"/>
    <w:qFormat/>
    <w:rsid w:val="00900859"/>
  </w:style>
  <w:style w:type="character" w:customStyle="1" w:styleId="1">
    <w:name w:val="Горен колонтитул Знак1"/>
    <w:basedOn w:val="a0"/>
    <w:link w:val="Header"/>
    <w:uiPriority w:val="99"/>
    <w:semiHidden/>
    <w:qFormat/>
    <w:rsid w:val="008B1242"/>
  </w:style>
  <w:style w:type="character" w:customStyle="1" w:styleId="10">
    <w:name w:val="Долен колонтитул Знак1"/>
    <w:basedOn w:val="a0"/>
    <w:uiPriority w:val="99"/>
    <w:semiHidden/>
    <w:qFormat/>
    <w:rsid w:val="008B1242"/>
  </w:style>
  <w:style w:type="paragraph" w:customStyle="1" w:styleId="Heading">
    <w:name w:val="Heading"/>
    <w:basedOn w:val="a"/>
    <w:next w:val="a7"/>
    <w:qFormat/>
    <w:rsid w:val="00300E47"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a7">
    <w:name w:val="Body Text"/>
    <w:basedOn w:val="a"/>
    <w:rsid w:val="004B446B"/>
    <w:pPr>
      <w:spacing w:after="140"/>
    </w:pPr>
  </w:style>
  <w:style w:type="paragraph" w:styleId="a8">
    <w:name w:val="List"/>
    <w:basedOn w:val="a7"/>
    <w:rsid w:val="004B446B"/>
    <w:rPr>
      <w:rFonts w:cs="Lucida Sans"/>
    </w:rPr>
  </w:style>
  <w:style w:type="paragraph" w:customStyle="1" w:styleId="Caption">
    <w:name w:val="Caption"/>
    <w:basedOn w:val="a"/>
    <w:qFormat/>
    <w:rsid w:val="001727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300E47"/>
    <w:pPr>
      <w:suppressLineNumbers/>
    </w:pPr>
    <w:rPr>
      <w:rFonts w:cs="Lucida Sans"/>
    </w:rPr>
  </w:style>
  <w:style w:type="paragraph" w:styleId="a9">
    <w:name w:val="Title"/>
    <w:basedOn w:val="a"/>
    <w:next w:val="a7"/>
    <w:uiPriority w:val="10"/>
    <w:qFormat/>
    <w:rsid w:val="004B446B"/>
    <w:pPr>
      <w:keepNext/>
      <w:keepLines/>
      <w:spacing w:after="60"/>
    </w:pPr>
    <w:rPr>
      <w:sz w:val="52"/>
      <w:szCs w:val="52"/>
    </w:rPr>
  </w:style>
  <w:style w:type="paragraph" w:customStyle="1" w:styleId="aa">
    <w:name w:val="Указател"/>
    <w:basedOn w:val="a"/>
    <w:qFormat/>
    <w:rsid w:val="004B446B"/>
    <w:pPr>
      <w:suppressLineNumbers/>
    </w:pPr>
    <w:rPr>
      <w:rFonts w:cs="Lucida Sans"/>
    </w:rPr>
  </w:style>
  <w:style w:type="paragraph" w:customStyle="1" w:styleId="Heading11">
    <w:name w:val="Heading 11"/>
    <w:basedOn w:val="a"/>
    <w:next w:val="a"/>
    <w:uiPriority w:val="9"/>
    <w:qFormat/>
    <w:rsid w:val="004B446B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1"/>
    <w:basedOn w:val="a"/>
    <w:next w:val="a"/>
    <w:uiPriority w:val="9"/>
    <w:semiHidden/>
    <w:unhideWhenUsed/>
    <w:qFormat/>
    <w:rsid w:val="004B446B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1"/>
    <w:basedOn w:val="a"/>
    <w:next w:val="a"/>
    <w:uiPriority w:val="9"/>
    <w:semiHidden/>
    <w:unhideWhenUsed/>
    <w:qFormat/>
    <w:rsid w:val="004B44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1"/>
    <w:basedOn w:val="a"/>
    <w:next w:val="a"/>
    <w:uiPriority w:val="9"/>
    <w:semiHidden/>
    <w:unhideWhenUsed/>
    <w:qFormat/>
    <w:rsid w:val="004B44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1"/>
    <w:basedOn w:val="a"/>
    <w:next w:val="a"/>
    <w:uiPriority w:val="9"/>
    <w:semiHidden/>
    <w:unhideWhenUsed/>
    <w:qFormat/>
    <w:rsid w:val="004B446B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1"/>
    <w:basedOn w:val="a"/>
    <w:next w:val="a"/>
    <w:uiPriority w:val="9"/>
    <w:semiHidden/>
    <w:unhideWhenUsed/>
    <w:qFormat/>
    <w:rsid w:val="004B446B"/>
    <w:pPr>
      <w:keepNext/>
      <w:keepLines/>
      <w:spacing w:before="240" w:after="80"/>
      <w:outlineLvl w:val="5"/>
    </w:pPr>
    <w:rPr>
      <w:i/>
      <w:color w:val="666666"/>
    </w:rPr>
  </w:style>
  <w:style w:type="paragraph" w:customStyle="1" w:styleId="Caption1">
    <w:name w:val="Caption1"/>
    <w:basedOn w:val="a"/>
    <w:qFormat/>
    <w:rsid w:val="004B44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Subtitle"/>
    <w:basedOn w:val="a"/>
    <w:next w:val="a"/>
    <w:uiPriority w:val="11"/>
    <w:qFormat/>
    <w:rsid w:val="0017272C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-">
    <w:name w:val="Таблица - съдържание"/>
    <w:basedOn w:val="a"/>
    <w:qFormat/>
    <w:rsid w:val="004B446B"/>
    <w:pPr>
      <w:widowControl w:val="0"/>
      <w:suppressLineNumbers/>
    </w:pPr>
  </w:style>
  <w:style w:type="paragraph" w:customStyle="1" w:styleId="-0">
    <w:name w:val="Таблица - заглавие"/>
    <w:basedOn w:val="-"/>
    <w:qFormat/>
    <w:rsid w:val="004B446B"/>
    <w:pPr>
      <w:jc w:val="center"/>
    </w:pPr>
    <w:rPr>
      <w:b/>
      <w:bCs/>
    </w:rPr>
  </w:style>
  <w:style w:type="paragraph" w:customStyle="1" w:styleId="ac">
    <w:name w:val="Колонтитули"/>
    <w:basedOn w:val="a"/>
    <w:qFormat/>
    <w:rsid w:val="004B446B"/>
    <w:pPr>
      <w:suppressLineNumbers/>
      <w:tabs>
        <w:tab w:val="center" w:pos="4961"/>
        <w:tab w:val="right" w:pos="9922"/>
      </w:tabs>
    </w:pPr>
  </w:style>
  <w:style w:type="paragraph" w:customStyle="1" w:styleId="Header1">
    <w:name w:val="Header1"/>
    <w:basedOn w:val="ac"/>
    <w:qFormat/>
    <w:rsid w:val="004B446B"/>
  </w:style>
  <w:style w:type="paragraph" w:customStyle="1" w:styleId="Footer1">
    <w:name w:val="Footer1"/>
    <w:basedOn w:val="ac"/>
    <w:qFormat/>
    <w:rsid w:val="004B446B"/>
  </w:style>
  <w:style w:type="paragraph" w:styleId="ad">
    <w:name w:val="Balloon Text"/>
    <w:basedOn w:val="a"/>
    <w:uiPriority w:val="99"/>
    <w:semiHidden/>
    <w:unhideWhenUsed/>
    <w:qFormat/>
    <w:rsid w:val="00630566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300E47"/>
  </w:style>
  <w:style w:type="paragraph" w:customStyle="1" w:styleId="Header">
    <w:name w:val="Header"/>
    <w:basedOn w:val="a"/>
    <w:link w:val="1"/>
    <w:uiPriority w:val="99"/>
    <w:unhideWhenUsed/>
    <w:rsid w:val="008B1242"/>
    <w:pPr>
      <w:tabs>
        <w:tab w:val="center" w:pos="4536"/>
        <w:tab w:val="right" w:pos="9072"/>
      </w:tabs>
      <w:spacing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8B1242"/>
    <w:pPr>
      <w:tabs>
        <w:tab w:val="center" w:pos="4536"/>
        <w:tab w:val="right" w:pos="9072"/>
      </w:tabs>
      <w:spacing w:line="240" w:lineRule="auto"/>
    </w:pPr>
  </w:style>
  <w:style w:type="table" w:customStyle="1" w:styleId="TableNormal1">
    <w:name w:val="Table Normal1"/>
    <w:rsid w:val="0017272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rsid w:val="004B446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533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B5CrG+fVJxf1GQ9faYHhp/v31qQ==">CgMxLjAyCGguZ2pkZ3hzMgloLjMwajB6bGwyCWguMWZvYjl0ZTIJaC4zem55c2g3MgloLjJldDkycDA4AHIhMTdRdGE0WlkxbVJ0WF9CV1BXNmdmQ0JjQkMtSGtGNlot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D8B23D-D3A3-463C-B881-F01F2F7A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1862</Words>
  <Characters>10617</Characters>
  <Application>Microsoft Office Word</Application>
  <DocSecurity>0</DocSecurity>
  <Lines>88</Lines>
  <Paragraphs>24</Paragraphs>
  <ScaleCrop>false</ScaleCrop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eRiderSHOP</dc:creator>
  <cp:lastModifiedBy>User</cp:lastModifiedBy>
  <cp:revision>2</cp:revision>
  <cp:lastPrinted>2023-07-07T09:38:00Z</cp:lastPrinted>
  <dcterms:created xsi:type="dcterms:W3CDTF">2023-07-07T07:43:00Z</dcterms:created>
  <dcterms:modified xsi:type="dcterms:W3CDTF">2023-07-07T07:43:00Z</dcterms:modified>
  <dc:language>bg-BG</dc:language>
</cp:coreProperties>
</file>